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A66E" w14:textId="77777777" w:rsidR="00AB7AF5" w:rsidRPr="00AB7AF5" w:rsidRDefault="00AB7AF5" w:rsidP="00AB7AF5">
      <w:r w:rsidRPr="00AB7AF5">
        <w:t>Possible weekly supplements (on top of the base payment/benefit)</w:t>
      </w:r>
    </w:p>
    <w:tbl>
      <w:tblPr>
        <w:tblW w:w="15160" w:type="dxa"/>
        <w:tblBorders>
          <w:top w:val="single" w:sz="6" w:space="0" w:color="000000" w:themeColor="text1"/>
          <w:left w:val="single" w:sz="6" w:space="0" w:color="000000" w:themeColor="text1"/>
          <w:bottom w:val="single" w:sz="6" w:space="0" w:color="000000" w:themeColor="text1"/>
          <w:right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2070"/>
        <w:gridCol w:w="6135"/>
        <w:gridCol w:w="6955"/>
      </w:tblGrid>
      <w:tr w:rsidR="00AB7AF5" w:rsidRPr="00AB7AF5" w14:paraId="1D6C6617" w14:textId="77777777" w:rsidTr="00723B50">
        <w:trPr>
          <w:tblHeader/>
        </w:trPr>
        <w:tc>
          <w:tcPr>
            <w:tcW w:w="2070" w:type="dxa"/>
            <w:tcBorders>
              <w:top w:val="nil"/>
              <w:left w:val="single" w:sz="6" w:space="0" w:color="000000" w:themeColor="text1"/>
              <w:bottom w:val="single" w:sz="12" w:space="0" w:color="000000" w:themeColor="text1"/>
              <w:right w:val="single" w:sz="6" w:space="0" w:color="000000" w:themeColor="text1"/>
            </w:tcBorders>
            <w:shd w:val="clear" w:color="auto" w:fill="000000" w:themeFill="text1"/>
            <w:tcMar>
              <w:top w:w="120" w:type="dxa"/>
              <w:left w:w="120" w:type="dxa"/>
              <w:bottom w:w="120" w:type="dxa"/>
              <w:right w:w="120" w:type="dxa"/>
            </w:tcMar>
            <w:hideMark/>
          </w:tcPr>
          <w:p w14:paraId="0F4AC12D" w14:textId="77777777" w:rsidR="00AB7AF5" w:rsidRPr="00AB7AF5" w:rsidRDefault="00AB7AF5" w:rsidP="00AB7AF5">
            <w:pPr>
              <w:rPr>
                <w:b/>
                <w:bCs/>
              </w:rPr>
            </w:pPr>
            <w:r w:rsidRPr="00AB7AF5">
              <w:rPr>
                <w:b/>
                <w:bCs/>
              </w:rPr>
              <w:t>Supplement</w:t>
            </w:r>
          </w:p>
        </w:tc>
        <w:tc>
          <w:tcPr>
            <w:tcW w:w="6135" w:type="dxa"/>
            <w:tcBorders>
              <w:top w:val="nil"/>
              <w:left w:val="single" w:sz="6" w:space="0" w:color="000000" w:themeColor="text1"/>
              <w:bottom w:val="single" w:sz="12" w:space="0" w:color="000000" w:themeColor="text1"/>
              <w:right w:val="single" w:sz="6" w:space="0" w:color="000000" w:themeColor="text1"/>
            </w:tcBorders>
            <w:shd w:val="clear" w:color="auto" w:fill="000000" w:themeFill="text1"/>
            <w:tcMar>
              <w:top w:w="120" w:type="dxa"/>
              <w:left w:w="120" w:type="dxa"/>
              <w:bottom w:w="120" w:type="dxa"/>
              <w:right w:w="120" w:type="dxa"/>
            </w:tcMar>
            <w:hideMark/>
          </w:tcPr>
          <w:p w14:paraId="41E18E73" w14:textId="77777777" w:rsidR="00AB7AF5" w:rsidRPr="00AB7AF5" w:rsidRDefault="00AB7AF5" w:rsidP="00AB7AF5">
            <w:pPr>
              <w:rPr>
                <w:b/>
                <w:bCs/>
              </w:rPr>
            </w:pPr>
            <w:r w:rsidRPr="00AB7AF5">
              <w:rPr>
                <w:b/>
                <w:bCs/>
              </w:rPr>
              <w:t>Eligibility</w:t>
            </w:r>
          </w:p>
        </w:tc>
        <w:tc>
          <w:tcPr>
            <w:tcW w:w="6955" w:type="dxa"/>
            <w:tcBorders>
              <w:top w:val="nil"/>
              <w:left w:val="single" w:sz="6" w:space="0" w:color="000000" w:themeColor="text1"/>
              <w:bottom w:val="single" w:sz="12" w:space="0" w:color="000000" w:themeColor="text1"/>
              <w:right w:val="nil"/>
            </w:tcBorders>
            <w:shd w:val="clear" w:color="auto" w:fill="000000" w:themeFill="text1"/>
            <w:tcMar>
              <w:top w:w="120" w:type="dxa"/>
              <w:left w:w="120" w:type="dxa"/>
              <w:bottom w:w="120" w:type="dxa"/>
              <w:right w:w="120" w:type="dxa"/>
            </w:tcMar>
            <w:hideMark/>
          </w:tcPr>
          <w:p w14:paraId="0522A6FA" w14:textId="77777777" w:rsidR="00AB7AF5" w:rsidRPr="00AB7AF5" w:rsidRDefault="00AB7AF5" w:rsidP="00AB7AF5">
            <w:pPr>
              <w:rPr>
                <w:b/>
                <w:bCs/>
              </w:rPr>
            </w:pPr>
            <w:r w:rsidRPr="00AB7AF5">
              <w:rPr>
                <w:b/>
                <w:bCs/>
              </w:rPr>
              <w:t>Examples of what may be covered (This may vary from case to case)</w:t>
            </w:r>
          </w:p>
        </w:tc>
      </w:tr>
      <w:tr w:rsidR="00AB7AF5" w:rsidRPr="00AB7AF5" w14:paraId="4F1CAA14" w14:textId="77777777" w:rsidTr="00723B50">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62954CB5" w14:textId="77777777" w:rsidR="00AB7AF5" w:rsidRPr="00AB7AF5" w:rsidRDefault="00AB7AF5" w:rsidP="00AB7AF5">
            <w:r w:rsidRPr="00AB7AF5">
              <w:rPr>
                <w:b/>
                <w:bCs/>
              </w:rPr>
              <w:t>Supported Living Payment (SLP)</w:t>
            </w:r>
          </w:p>
        </w:tc>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14AC991E" w14:textId="77777777" w:rsidR="00AB7AF5" w:rsidRPr="00AB7AF5" w:rsidRDefault="00AB7AF5" w:rsidP="00AB7AF5">
            <w:r w:rsidRPr="00AB7AF5">
              <w:t xml:space="preserve">Paid to people permanently and severely restricted in how much work they can do because of sickness, </w:t>
            </w:r>
            <w:proofErr w:type="gramStart"/>
            <w:r w:rsidRPr="00AB7AF5">
              <w:t>injury</w:t>
            </w:r>
            <w:proofErr w:type="gramEnd"/>
            <w:r w:rsidRPr="00AB7AF5">
              <w:t xml:space="preserve"> or disability.</w:t>
            </w:r>
          </w:p>
        </w:tc>
        <w:tc>
          <w:tcPr>
            <w:tcW w:w="6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3C7AD3D0" w14:textId="77777777" w:rsidR="00AB7AF5" w:rsidRPr="00AB7AF5" w:rsidRDefault="00AB7AF5" w:rsidP="00AB7AF5">
            <w:r w:rsidRPr="00AB7AF5">
              <w:t>A base payment/benefit which additional payments are then added to.</w:t>
            </w:r>
          </w:p>
        </w:tc>
      </w:tr>
      <w:tr w:rsidR="00AB7AF5" w:rsidRPr="00AB7AF5" w14:paraId="5B006B59" w14:textId="77777777" w:rsidTr="00723B50">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19B5A11A" w14:textId="77777777" w:rsidR="00AB7AF5" w:rsidRPr="00AB7AF5" w:rsidRDefault="00AB7AF5" w:rsidP="00AB7AF5">
            <w:r w:rsidRPr="00AB7AF5">
              <w:rPr>
                <w:b/>
                <w:bCs/>
              </w:rPr>
              <w:t>Accommodation Supplement</w:t>
            </w:r>
          </w:p>
        </w:tc>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67F22222" w14:textId="77777777" w:rsidR="00AB7AF5" w:rsidRPr="00AB7AF5" w:rsidRDefault="00AB7AF5" w:rsidP="00AB7AF5">
            <w:r w:rsidRPr="00AB7AF5">
              <w:t xml:space="preserve">A weekly payment which helps people with their rent, </w:t>
            </w:r>
            <w:proofErr w:type="gramStart"/>
            <w:r w:rsidRPr="00AB7AF5">
              <w:t>board</w:t>
            </w:r>
            <w:proofErr w:type="gramEnd"/>
            <w:r w:rsidRPr="00AB7AF5">
              <w:t xml:space="preserve"> or the cost of owning a home. </w:t>
            </w:r>
          </w:p>
        </w:tc>
        <w:tc>
          <w:tcPr>
            <w:tcW w:w="6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4F145B53" w14:textId="77777777" w:rsidR="00AB7AF5" w:rsidRPr="00AB7AF5" w:rsidRDefault="00AB7AF5" w:rsidP="00AB7AF5">
            <w:r w:rsidRPr="00AB7AF5">
              <w:t xml:space="preserve">Helps to pay rent, </w:t>
            </w:r>
            <w:proofErr w:type="gramStart"/>
            <w:r w:rsidRPr="00AB7AF5">
              <w:t>board</w:t>
            </w:r>
            <w:proofErr w:type="gramEnd"/>
            <w:r w:rsidRPr="00AB7AF5">
              <w:t xml:space="preserve"> or mortgage in locations where the base payment does not cover the cost accommodation</w:t>
            </w:r>
          </w:p>
        </w:tc>
      </w:tr>
      <w:tr w:rsidR="00AB7AF5" w:rsidRPr="00AB7AF5" w14:paraId="7E2FD000" w14:textId="77777777" w:rsidTr="00723B50">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3A231A43" w14:textId="77777777" w:rsidR="00AB7AF5" w:rsidRPr="00AB7AF5" w:rsidRDefault="00AB7AF5" w:rsidP="00AB7AF5">
            <w:r w:rsidRPr="00AB7AF5">
              <w:rPr>
                <w:b/>
                <w:bCs/>
              </w:rPr>
              <w:t>Disability Allowance (DA)</w:t>
            </w:r>
          </w:p>
        </w:tc>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6FB34983" w14:textId="77777777" w:rsidR="00AB7AF5" w:rsidRPr="00AB7AF5" w:rsidRDefault="00AB7AF5" w:rsidP="00AB7AF5">
            <w:r w:rsidRPr="00AB7AF5">
              <w:t xml:space="preserve">Paid to people who have regular, ongoing costs because of their disability which are not fully covered by another agency. Each person is assessed personally based on the expenses they can prove. </w:t>
            </w:r>
            <w:proofErr w:type="gramStart"/>
            <w:r w:rsidRPr="00AB7AF5">
              <w:t>Usually</w:t>
            </w:r>
            <w:proofErr w:type="gramEnd"/>
            <w:r w:rsidRPr="00AB7AF5">
              <w:t xml:space="preserve"> the maximum is $60.54 per week.</w:t>
            </w:r>
          </w:p>
        </w:tc>
        <w:tc>
          <w:tcPr>
            <w:tcW w:w="6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4C182A3D" w14:textId="77777777" w:rsidR="00AB7AF5" w:rsidRPr="00AB7AF5" w:rsidRDefault="00AB7AF5" w:rsidP="00AB7AF5">
            <w:pPr>
              <w:numPr>
                <w:ilvl w:val="0"/>
                <w:numId w:val="8"/>
              </w:numPr>
            </w:pPr>
            <w:r w:rsidRPr="00AB7AF5">
              <w:t> Doctor/specialist/hospital fees</w:t>
            </w:r>
          </w:p>
          <w:p w14:paraId="5619458B" w14:textId="77777777" w:rsidR="00AB7AF5" w:rsidRPr="00AB7AF5" w:rsidRDefault="00AB7AF5" w:rsidP="00AB7AF5">
            <w:pPr>
              <w:numPr>
                <w:ilvl w:val="0"/>
                <w:numId w:val="8"/>
              </w:numPr>
            </w:pPr>
            <w:r w:rsidRPr="00AB7AF5">
              <w:t>Prescription costs</w:t>
            </w:r>
          </w:p>
          <w:p w14:paraId="228DC81B" w14:textId="77777777" w:rsidR="00AB7AF5" w:rsidRPr="00AB7AF5" w:rsidRDefault="00AB7AF5" w:rsidP="00AB7AF5">
            <w:pPr>
              <w:numPr>
                <w:ilvl w:val="0"/>
                <w:numId w:val="8"/>
              </w:numPr>
            </w:pPr>
            <w:r w:rsidRPr="00AB7AF5">
              <w:t>Travel to medical appointments</w:t>
            </w:r>
          </w:p>
          <w:p w14:paraId="344268C9" w14:textId="77777777" w:rsidR="00AB7AF5" w:rsidRPr="00AB7AF5" w:rsidRDefault="00AB7AF5" w:rsidP="00AB7AF5">
            <w:pPr>
              <w:numPr>
                <w:ilvl w:val="0"/>
                <w:numId w:val="8"/>
              </w:numPr>
            </w:pPr>
            <w:r w:rsidRPr="00AB7AF5">
              <w:t>Heating/electrical bills</w:t>
            </w:r>
          </w:p>
          <w:p w14:paraId="72BAAA9A" w14:textId="77777777" w:rsidR="00AB7AF5" w:rsidRPr="00AB7AF5" w:rsidRDefault="00AB7AF5" w:rsidP="00AB7AF5">
            <w:pPr>
              <w:numPr>
                <w:ilvl w:val="0"/>
                <w:numId w:val="8"/>
              </w:numPr>
            </w:pPr>
            <w:r w:rsidRPr="00AB7AF5">
              <w:t>Medical alarm rental and monitoring</w:t>
            </w:r>
          </w:p>
        </w:tc>
      </w:tr>
      <w:tr w:rsidR="00AB7AF5" w:rsidRPr="00AB7AF5" w14:paraId="04DE6232" w14:textId="77777777" w:rsidTr="00723B50">
        <w:tc>
          <w:tcPr>
            <w:tcW w:w="20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0B4B8C29" w14:textId="77777777" w:rsidR="00AB7AF5" w:rsidRPr="00AB7AF5" w:rsidRDefault="00AB7AF5" w:rsidP="00AB7AF5">
            <w:r w:rsidRPr="00AB7AF5">
              <w:rPr>
                <w:b/>
                <w:bCs/>
              </w:rPr>
              <w:t>Temporary Additional Support (TAS)</w:t>
            </w:r>
          </w:p>
        </w:tc>
        <w:tc>
          <w:tcPr>
            <w:tcW w:w="61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6C4CB39E" w14:textId="77777777" w:rsidR="00AB7AF5" w:rsidRPr="00AB7AF5" w:rsidRDefault="00AB7AF5" w:rsidP="00AB7AF5">
            <w:r w:rsidRPr="00AB7AF5">
              <w:t>A weekly payment which helps meet essential living costs. This added support may be paid for up to 13 weeks and then will be reassessed. (TAS payments may in some cases become ongoing.) As with DA above, each person is assessed on the costs they can prove.</w:t>
            </w:r>
          </w:p>
        </w:tc>
        <w:tc>
          <w:tcPr>
            <w:tcW w:w="69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1E592B8F" w14:textId="06E9B941" w:rsidR="00AB7AF5" w:rsidRPr="00AB7AF5" w:rsidRDefault="00AB7AF5" w:rsidP="00AB7AF5">
            <w:r>
              <w:t> </w:t>
            </w:r>
            <w:r w:rsidRPr="17DA2E50">
              <w:rPr>
                <w:b/>
                <w:bCs/>
              </w:rPr>
              <w:t>Non-repayable supplement</w:t>
            </w:r>
            <w:r>
              <w:t> (in most cases)</w:t>
            </w:r>
          </w:p>
          <w:p w14:paraId="5DE8D76D" w14:textId="77777777" w:rsidR="00AB7AF5" w:rsidRPr="00AB7AF5" w:rsidRDefault="00AB7AF5" w:rsidP="00AB7AF5">
            <w:pPr>
              <w:numPr>
                <w:ilvl w:val="0"/>
                <w:numId w:val="9"/>
              </w:numPr>
            </w:pPr>
            <w:r w:rsidRPr="00AB7AF5">
              <w:t>Rent payment over and above what's covered by the Accommodation Supplement</w:t>
            </w:r>
          </w:p>
          <w:p w14:paraId="489D5F91" w14:textId="77777777" w:rsidR="00AB7AF5" w:rsidRPr="00AB7AF5" w:rsidRDefault="00AB7AF5" w:rsidP="00AB7AF5">
            <w:pPr>
              <w:numPr>
                <w:ilvl w:val="0"/>
                <w:numId w:val="9"/>
              </w:numPr>
            </w:pPr>
            <w:r w:rsidRPr="00AB7AF5">
              <w:t>Hire purchase (fridge TV etc)</w:t>
            </w:r>
          </w:p>
          <w:p w14:paraId="586817E3" w14:textId="77777777" w:rsidR="00AB7AF5" w:rsidRPr="00AB7AF5" w:rsidRDefault="00AB7AF5" w:rsidP="00AB7AF5">
            <w:pPr>
              <w:numPr>
                <w:ilvl w:val="0"/>
                <w:numId w:val="9"/>
              </w:numPr>
            </w:pPr>
            <w:r w:rsidRPr="00AB7AF5">
              <w:t>Vehicle payments</w:t>
            </w:r>
          </w:p>
          <w:p w14:paraId="2C6953FB" w14:textId="77777777" w:rsidR="00AB7AF5" w:rsidRPr="00AB7AF5" w:rsidRDefault="00AB7AF5" w:rsidP="00AB7AF5">
            <w:pPr>
              <w:numPr>
                <w:ilvl w:val="0"/>
                <w:numId w:val="9"/>
              </w:numPr>
            </w:pPr>
            <w:r w:rsidRPr="00AB7AF5">
              <w:t>Credit card repayment</w:t>
            </w:r>
          </w:p>
          <w:p w14:paraId="5FC788F7" w14:textId="77777777" w:rsidR="00AB7AF5" w:rsidRPr="00AB7AF5" w:rsidRDefault="00AB7AF5" w:rsidP="00AB7AF5">
            <w:pPr>
              <w:numPr>
                <w:ilvl w:val="0"/>
                <w:numId w:val="9"/>
              </w:numPr>
            </w:pPr>
            <w:r w:rsidRPr="00AB7AF5">
              <w:t>Fines</w:t>
            </w:r>
          </w:p>
        </w:tc>
      </w:tr>
    </w:tbl>
    <w:p w14:paraId="4E2AFD83" w14:textId="1642C6D0" w:rsidR="00AB7AF5" w:rsidRPr="00AB7AF5" w:rsidRDefault="00AB7AF5" w:rsidP="00AB7AF5"/>
    <w:p w14:paraId="7F9439B3" w14:textId="77777777" w:rsidR="00723B50" w:rsidRDefault="00723B50" w:rsidP="17DA2E50"/>
    <w:p w14:paraId="00808631" w14:textId="77777777" w:rsidR="00723B50" w:rsidRDefault="00723B50" w:rsidP="17DA2E50"/>
    <w:p w14:paraId="6269D24F" w14:textId="74767C03" w:rsidR="00AB7AF5" w:rsidRPr="00AB7AF5" w:rsidRDefault="00AB7AF5" w:rsidP="17DA2E50">
      <w:r>
        <w:lastRenderedPageBreak/>
        <w:t>Special needs grants</w:t>
      </w:r>
    </w:p>
    <w:p w14:paraId="10B5F8BE" w14:textId="77777777" w:rsidR="00AB7AF5" w:rsidRPr="00AB7AF5" w:rsidRDefault="00AB7AF5" w:rsidP="00AB7AF5">
      <w:r w:rsidRPr="00AB7AF5">
        <w:t>These grants help, in certain circumstances, to pay for something when there is no other way of paying for it.</w:t>
      </w:r>
    </w:p>
    <w:tbl>
      <w:tblPr>
        <w:tblW w:w="15301" w:type="dxa"/>
        <w:tblBorders>
          <w:top w:val="single" w:sz="6" w:space="0" w:color="000000" w:themeColor="text1"/>
          <w:left w:val="single" w:sz="6" w:space="0" w:color="000000" w:themeColor="text1"/>
          <w:bottom w:val="single" w:sz="6" w:space="0" w:color="000000" w:themeColor="text1"/>
          <w:right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1883"/>
        <w:gridCol w:w="4710"/>
        <w:gridCol w:w="8708"/>
      </w:tblGrid>
      <w:tr w:rsidR="00AB7AF5" w:rsidRPr="00AB7AF5" w14:paraId="63DF2E81" w14:textId="77777777" w:rsidTr="00723B50">
        <w:trPr>
          <w:tblHeader/>
        </w:trPr>
        <w:tc>
          <w:tcPr>
            <w:tcW w:w="1883" w:type="dxa"/>
            <w:tcBorders>
              <w:top w:val="nil"/>
              <w:left w:val="single" w:sz="6" w:space="0" w:color="000000" w:themeColor="text1"/>
              <w:bottom w:val="single" w:sz="12" w:space="0" w:color="000000" w:themeColor="text1"/>
              <w:right w:val="single" w:sz="6" w:space="0" w:color="000000" w:themeColor="text1"/>
            </w:tcBorders>
            <w:shd w:val="clear" w:color="auto" w:fill="000000" w:themeFill="text1"/>
            <w:tcMar>
              <w:top w:w="120" w:type="dxa"/>
              <w:left w:w="120" w:type="dxa"/>
              <w:bottom w:w="120" w:type="dxa"/>
              <w:right w:w="120" w:type="dxa"/>
            </w:tcMar>
            <w:hideMark/>
          </w:tcPr>
          <w:p w14:paraId="301454E9" w14:textId="77777777" w:rsidR="00AB7AF5" w:rsidRPr="00AB7AF5" w:rsidRDefault="00AB7AF5" w:rsidP="00AB7AF5">
            <w:pPr>
              <w:rPr>
                <w:b/>
                <w:bCs/>
              </w:rPr>
            </w:pPr>
            <w:r w:rsidRPr="00AB7AF5">
              <w:rPr>
                <w:b/>
                <w:bCs/>
              </w:rPr>
              <w:t>Grant</w:t>
            </w:r>
          </w:p>
        </w:tc>
        <w:tc>
          <w:tcPr>
            <w:tcW w:w="4710" w:type="dxa"/>
            <w:tcBorders>
              <w:top w:val="nil"/>
              <w:left w:val="single" w:sz="6" w:space="0" w:color="000000" w:themeColor="text1"/>
              <w:bottom w:val="single" w:sz="12" w:space="0" w:color="000000" w:themeColor="text1"/>
              <w:right w:val="single" w:sz="6" w:space="0" w:color="000000" w:themeColor="text1"/>
            </w:tcBorders>
            <w:shd w:val="clear" w:color="auto" w:fill="000000" w:themeFill="text1"/>
            <w:tcMar>
              <w:top w:w="120" w:type="dxa"/>
              <w:left w:w="120" w:type="dxa"/>
              <w:bottom w:w="120" w:type="dxa"/>
              <w:right w:w="120" w:type="dxa"/>
            </w:tcMar>
            <w:hideMark/>
          </w:tcPr>
          <w:p w14:paraId="170A37DA" w14:textId="77777777" w:rsidR="00AB7AF5" w:rsidRPr="00AB7AF5" w:rsidRDefault="00AB7AF5" w:rsidP="00AB7AF5">
            <w:pPr>
              <w:rPr>
                <w:b/>
                <w:bCs/>
              </w:rPr>
            </w:pPr>
            <w:r w:rsidRPr="00AB7AF5">
              <w:rPr>
                <w:b/>
                <w:bCs/>
              </w:rPr>
              <w:t>Eligibility</w:t>
            </w:r>
          </w:p>
        </w:tc>
        <w:tc>
          <w:tcPr>
            <w:tcW w:w="8708" w:type="dxa"/>
            <w:tcBorders>
              <w:top w:val="nil"/>
              <w:left w:val="single" w:sz="6" w:space="0" w:color="000000" w:themeColor="text1"/>
              <w:bottom w:val="single" w:sz="12" w:space="0" w:color="000000" w:themeColor="text1"/>
              <w:right w:val="nil"/>
            </w:tcBorders>
            <w:shd w:val="clear" w:color="auto" w:fill="000000" w:themeFill="text1"/>
            <w:tcMar>
              <w:top w:w="120" w:type="dxa"/>
              <w:left w:w="120" w:type="dxa"/>
              <w:bottom w:w="120" w:type="dxa"/>
              <w:right w:w="120" w:type="dxa"/>
            </w:tcMar>
            <w:hideMark/>
          </w:tcPr>
          <w:p w14:paraId="7E0D6B6D" w14:textId="77777777" w:rsidR="00AB7AF5" w:rsidRPr="00AB7AF5" w:rsidRDefault="00AB7AF5" w:rsidP="00AB7AF5">
            <w:pPr>
              <w:rPr>
                <w:b/>
                <w:bCs/>
              </w:rPr>
            </w:pPr>
            <w:r w:rsidRPr="00AB7AF5">
              <w:rPr>
                <w:b/>
                <w:bCs/>
              </w:rPr>
              <w:t>Examples of what may be covered (This may vary from case to case)</w:t>
            </w:r>
          </w:p>
        </w:tc>
      </w:tr>
      <w:tr w:rsidR="00AB7AF5" w:rsidRPr="00AB7AF5" w14:paraId="497107D8" w14:textId="77777777" w:rsidTr="00723B50">
        <w:tc>
          <w:tcPr>
            <w:tcW w:w="18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0407F916" w14:textId="77777777" w:rsidR="00AB7AF5" w:rsidRPr="00AB7AF5" w:rsidRDefault="00AB7AF5" w:rsidP="00AB7AF5">
            <w:r w:rsidRPr="00AB7AF5">
              <w:rPr>
                <w:b/>
                <w:bCs/>
              </w:rPr>
              <w:t>Re-establishment grant</w:t>
            </w:r>
          </w:p>
        </w:tc>
        <w:tc>
          <w:tcPr>
            <w:tcW w:w="4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40EB7BE3" w14:textId="77777777" w:rsidR="00AB7AF5" w:rsidRPr="00AB7AF5" w:rsidRDefault="00AB7AF5" w:rsidP="00AB7AF5">
            <w:r w:rsidRPr="00AB7AF5">
              <w:t xml:space="preserve">If the person has lived in a residential home for 6 months or </w:t>
            </w:r>
            <w:proofErr w:type="gramStart"/>
            <w:r w:rsidRPr="00AB7AF5">
              <w:t>more</w:t>
            </w:r>
            <w:proofErr w:type="gramEnd"/>
            <w:r w:rsidRPr="00AB7AF5">
              <w:t xml:space="preserve"> they may be able to receive rent and bond in advance and other assistance for furniture, appliances, connection of utilities and other personal requirements.</w:t>
            </w:r>
          </w:p>
          <w:p w14:paraId="24FC8477" w14:textId="77777777" w:rsidR="00AB7AF5" w:rsidRPr="00AB7AF5" w:rsidRDefault="00AB7AF5" w:rsidP="00AB7AF5">
            <w:r w:rsidRPr="00AB7AF5">
              <w:t>(Up to $1200 – may be more depending on the case)</w:t>
            </w:r>
          </w:p>
        </w:tc>
        <w:tc>
          <w:tcPr>
            <w:tcW w:w="8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06728A46" w14:textId="77777777" w:rsidR="00AB7AF5" w:rsidRPr="00AB7AF5" w:rsidRDefault="00AB7AF5" w:rsidP="00723B50">
            <w:pPr>
              <w:spacing w:line="240" w:lineRule="auto"/>
            </w:pPr>
            <w:r w:rsidRPr="00AB7AF5">
              <w:rPr>
                <w:b/>
                <w:bCs/>
              </w:rPr>
              <w:t xml:space="preserve">Repayable </w:t>
            </w:r>
            <w:proofErr w:type="gramStart"/>
            <w:r w:rsidRPr="00AB7AF5">
              <w:rPr>
                <w:b/>
                <w:bCs/>
              </w:rPr>
              <w:t>grant</w:t>
            </w:r>
            <w:r w:rsidRPr="00AB7AF5">
              <w:t>(</w:t>
            </w:r>
            <w:proofErr w:type="gramEnd"/>
            <w:r w:rsidRPr="00AB7AF5">
              <w:t>in most cases)</w:t>
            </w:r>
          </w:p>
          <w:p w14:paraId="732F4604" w14:textId="77777777" w:rsidR="00AB7AF5" w:rsidRPr="00AB7AF5" w:rsidRDefault="00AB7AF5" w:rsidP="00723B50">
            <w:pPr>
              <w:numPr>
                <w:ilvl w:val="0"/>
                <w:numId w:val="10"/>
              </w:numPr>
              <w:spacing w:line="240" w:lineRule="auto"/>
            </w:pPr>
            <w:r w:rsidRPr="00AB7AF5">
              <w:t>Rent in advance</w:t>
            </w:r>
          </w:p>
          <w:p w14:paraId="779DF632" w14:textId="77777777" w:rsidR="00AB7AF5" w:rsidRPr="00AB7AF5" w:rsidRDefault="00AB7AF5" w:rsidP="00723B50">
            <w:pPr>
              <w:numPr>
                <w:ilvl w:val="0"/>
                <w:numId w:val="10"/>
              </w:numPr>
              <w:spacing w:line="240" w:lineRule="auto"/>
            </w:pPr>
            <w:r w:rsidRPr="00AB7AF5">
              <w:t>Bond</w:t>
            </w:r>
          </w:p>
          <w:p w14:paraId="01FAC7FD" w14:textId="77777777" w:rsidR="00AB7AF5" w:rsidRPr="00AB7AF5" w:rsidRDefault="00AB7AF5" w:rsidP="00723B50">
            <w:pPr>
              <w:spacing w:line="240" w:lineRule="auto"/>
            </w:pPr>
            <w:r w:rsidRPr="00AB7AF5">
              <w:rPr>
                <w:b/>
                <w:bCs/>
              </w:rPr>
              <w:t>Non-repayable grant</w:t>
            </w:r>
            <w:r w:rsidRPr="00AB7AF5">
              <w:t> (in most cases)</w:t>
            </w:r>
          </w:p>
          <w:p w14:paraId="0CD6F713" w14:textId="77777777" w:rsidR="00AB7AF5" w:rsidRPr="00AB7AF5" w:rsidRDefault="00AB7AF5" w:rsidP="00723B50">
            <w:pPr>
              <w:numPr>
                <w:ilvl w:val="0"/>
                <w:numId w:val="11"/>
              </w:numPr>
              <w:spacing w:line="240" w:lineRule="auto"/>
            </w:pPr>
            <w:r w:rsidRPr="00AB7AF5">
              <w:t>Furniture</w:t>
            </w:r>
          </w:p>
          <w:p w14:paraId="2DD1564B" w14:textId="77777777" w:rsidR="00AB7AF5" w:rsidRPr="00AB7AF5" w:rsidRDefault="00AB7AF5" w:rsidP="00723B50">
            <w:pPr>
              <w:numPr>
                <w:ilvl w:val="0"/>
                <w:numId w:val="11"/>
              </w:numPr>
              <w:spacing w:line="240" w:lineRule="auto"/>
            </w:pPr>
            <w:r w:rsidRPr="00AB7AF5">
              <w:t>Appliances</w:t>
            </w:r>
          </w:p>
          <w:p w14:paraId="52E8432B" w14:textId="77777777" w:rsidR="00AB7AF5" w:rsidRPr="00AB7AF5" w:rsidRDefault="00AB7AF5" w:rsidP="00723B50">
            <w:pPr>
              <w:numPr>
                <w:ilvl w:val="0"/>
                <w:numId w:val="11"/>
              </w:numPr>
              <w:spacing w:line="240" w:lineRule="auto"/>
            </w:pPr>
            <w:r w:rsidRPr="00AB7AF5">
              <w:t>Bedding and towels</w:t>
            </w:r>
          </w:p>
          <w:p w14:paraId="3365A199" w14:textId="77777777" w:rsidR="00AB7AF5" w:rsidRPr="00AB7AF5" w:rsidRDefault="00AB7AF5" w:rsidP="00723B50">
            <w:pPr>
              <w:numPr>
                <w:ilvl w:val="0"/>
                <w:numId w:val="11"/>
              </w:numPr>
              <w:spacing w:line="240" w:lineRule="auto"/>
            </w:pPr>
            <w:r w:rsidRPr="00AB7AF5">
              <w:t>Toiletries</w:t>
            </w:r>
          </w:p>
          <w:p w14:paraId="5CF54BFD" w14:textId="77777777" w:rsidR="00AB7AF5" w:rsidRPr="00AB7AF5" w:rsidRDefault="00AB7AF5" w:rsidP="00723B50">
            <w:pPr>
              <w:numPr>
                <w:ilvl w:val="0"/>
                <w:numId w:val="11"/>
              </w:numPr>
              <w:spacing w:line="240" w:lineRule="auto"/>
            </w:pPr>
            <w:r w:rsidRPr="00AB7AF5">
              <w:t>Clothing</w:t>
            </w:r>
          </w:p>
        </w:tc>
      </w:tr>
      <w:tr w:rsidR="00AB7AF5" w:rsidRPr="00AB7AF5" w14:paraId="3660484C" w14:textId="77777777" w:rsidTr="00723B50">
        <w:tc>
          <w:tcPr>
            <w:tcW w:w="18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1046C8A2" w14:textId="77777777" w:rsidR="00AB7AF5" w:rsidRPr="00AB7AF5" w:rsidRDefault="00AB7AF5" w:rsidP="00AB7AF5">
            <w:r w:rsidRPr="00AB7AF5">
              <w:rPr>
                <w:b/>
                <w:bCs/>
              </w:rPr>
              <w:t>Additional special needs grants</w:t>
            </w:r>
          </w:p>
        </w:tc>
        <w:tc>
          <w:tcPr>
            <w:tcW w:w="4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068B9631" w14:textId="77777777" w:rsidR="00AB7AF5" w:rsidRPr="00AB7AF5" w:rsidRDefault="00AB7AF5" w:rsidP="00AB7AF5">
            <w:r w:rsidRPr="00AB7AF5">
              <w:t xml:space="preserve">Funding may also be available to help pay for costs that cannot be met at any </w:t>
            </w:r>
            <w:proofErr w:type="gramStart"/>
            <w:r w:rsidRPr="00AB7AF5">
              <w:t>particular time</w:t>
            </w:r>
            <w:proofErr w:type="gramEnd"/>
            <w:r w:rsidRPr="00AB7AF5">
              <w:t>.</w:t>
            </w:r>
          </w:p>
          <w:p w14:paraId="340D9724" w14:textId="77777777" w:rsidR="00AB7AF5" w:rsidRPr="00AB7AF5" w:rsidRDefault="00AB7AF5" w:rsidP="00AB7AF5">
            <w:r w:rsidRPr="00AB7AF5">
              <w:t>(It is dependent on each person’s situation)</w:t>
            </w:r>
          </w:p>
        </w:tc>
        <w:tc>
          <w:tcPr>
            <w:tcW w:w="8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32AA4665" w14:textId="5C69635B" w:rsidR="00AB7AF5" w:rsidRPr="00AB7AF5" w:rsidRDefault="00AB7AF5" w:rsidP="00723B50">
            <w:pPr>
              <w:spacing w:line="240" w:lineRule="auto"/>
            </w:pPr>
            <w:r>
              <w:t> </w:t>
            </w:r>
            <w:r w:rsidRPr="17DA2E50">
              <w:rPr>
                <w:b/>
                <w:bCs/>
              </w:rPr>
              <w:t xml:space="preserve">Repayable </w:t>
            </w:r>
            <w:proofErr w:type="gramStart"/>
            <w:r w:rsidRPr="17DA2E50">
              <w:rPr>
                <w:b/>
                <w:bCs/>
              </w:rPr>
              <w:t>grant</w:t>
            </w:r>
            <w:r>
              <w:t>(</w:t>
            </w:r>
            <w:proofErr w:type="gramEnd"/>
            <w:r>
              <w:t>in most cases)</w:t>
            </w:r>
          </w:p>
          <w:p w14:paraId="495B5780" w14:textId="77777777" w:rsidR="00AB7AF5" w:rsidRPr="00AB7AF5" w:rsidRDefault="00AB7AF5" w:rsidP="00723B50">
            <w:pPr>
              <w:numPr>
                <w:ilvl w:val="0"/>
                <w:numId w:val="12"/>
              </w:numPr>
              <w:spacing w:line="240" w:lineRule="auto"/>
            </w:pPr>
            <w:r w:rsidRPr="00AB7AF5">
              <w:t>Whiteware</w:t>
            </w:r>
          </w:p>
          <w:p w14:paraId="503895ED" w14:textId="77777777" w:rsidR="00AB7AF5" w:rsidRPr="00AB7AF5" w:rsidRDefault="00AB7AF5" w:rsidP="00723B50">
            <w:pPr>
              <w:numPr>
                <w:ilvl w:val="0"/>
                <w:numId w:val="12"/>
              </w:numPr>
              <w:spacing w:line="240" w:lineRule="auto"/>
            </w:pPr>
            <w:r w:rsidRPr="00AB7AF5">
              <w:t>Medical and dental costs</w:t>
            </w:r>
          </w:p>
          <w:p w14:paraId="25DC896E" w14:textId="77777777" w:rsidR="00AB7AF5" w:rsidRPr="00AB7AF5" w:rsidRDefault="00AB7AF5" w:rsidP="00723B50">
            <w:pPr>
              <w:spacing w:line="240" w:lineRule="auto"/>
            </w:pPr>
            <w:r w:rsidRPr="00AB7AF5">
              <w:rPr>
                <w:b/>
                <w:bCs/>
              </w:rPr>
              <w:t>Non-repayable grant</w:t>
            </w:r>
            <w:r w:rsidRPr="00AB7AF5">
              <w:t> (in most cases)</w:t>
            </w:r>
          </w:p>
          <w:p w14:paraId="1890FCC2" w14:textId="77777777" w:rsidR="00AB7AF5" w:rsidRPr="00AB7AF5" w:rsidRDefault="00AB7AF5" w:rsidP="00723B50">
            <w:pPr>
              <w:numPr>
                <w:ilvl w:val="0"/>
                <w:numId w:val="13"/>
              </w:numPr>
              <w:spacing w:line="240" w:lineRule="auto"/>
            </w:pPr>
            <w:r w:rsidRPr="00AB7AF5">
              <w:t>Power (up to 3 monthly bills per annum)</w:t>
            </w:r>
          </w:p>
          <w:p w14:paraId="0D3D5002" w14:textId="77777777" w:rsidR="00AB7AF5" w:rsidRPr="00AB7AF5" w:rsidRDefault="00AB7AF5" w:rsidP="00723B50">
            <w:pPr>
              <w:numPr>
                <w:ilvl w:val="0"/>
                <w:numId w:val="13"/>
              </w:numPr>
              <w:spacing w:line="240" w:lineRule="auto"/>
            </w:pPr>
            <w:r w:rsidRPr="00AB7AF5">
              <w:t>Food (including the initial stocking of their cupboards)</w:t>
            </w:r>
          </w:p>
          <w:p w14:paraId="043312AE" w14:textId="77777777" w:rsidR="00AB7AF5" w:rsidRPr="00AB7AF5" w:rsidRDefault="00AB7AF5" w:rsidP="00723B50">
            <w:pPr>
              <w:numPr>
                <w:ilvl w:val="0"/>
                <w:numId w:val="13"/>
              </w:numPr>
              <w:spacing w:line="240" w:lineRule="auto"/>
            </w:pPr>
            <w:r w:rsidRPr="00AB7AF5">
              <w:t>Landline phone rental allowance (if they live alone)</w:t>
            </w:r>
          </w:p>
        </w:tc>
      </w:tr>
      <w:tr w:rsidR="00AB7AF5" w:rsidRPr="00AB7AF5" w14:paraId="2827DE59" w14:textId="77777777" w:rsidTr="00723B50">
        <w:tc>
          <w:tcPr>
            <w:tcW w:w="18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26C25018" w14:textId="77777777" w:rsidR="00AB7AF5" w:rsidRPr="00AB7AF5" w:rsidRDefault="00AB7AF5" w:rsidP="00AB7AF5">
            <w:r w:rsidRPr="00AB7AF5">
              <w:rPr>
                <w:b/>
                <w:bCs/>
              </w:rPr>
              <w:t>Transition to work grant</w:t>
            </w:r>
          </w:p>
        </w:tc>
        <w:tc>
          <w:tcPr>
            <w:tcW w:w="4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07878350" w14:textId="77777777" w:rsidR="00AB7AF5" w:rsidRPr="00AB7AF5" w:rsidRDefault="00AB7AF5" w:rsidP="00AB7AF5">
            <w:r w:rsidRPr="00AB7AF5">
              <w:t xml:space="preserve">If the person is able to work, they may qualify for </w:t>
            </w:r>
            <w:proofErr w:type="gramStart"/>
            <w:r w:rsidRPr="00AB7AF5">
              <w:t>a this</w:t>
            </w:r>
            <w:proofErr w:type="gramEnd"/>
            <w:r w:rsidRPr="00AB7AF5">
              <w:t xml:space="preserve"> grant which helps with the extra costs of moving into a job</w:t>
            </w:r>
          </w:p>
        </w:tc>
        <w:tc>
          <w:tcPr>
            <w:tcW w:w="8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74C53853" w14:textId="77777777" w:rsidR="00AB7AF5" w:rsidRPr="00AB7AF5" w:rsidRDefault="00AB7AF5" w:rsidP="00723B50">
            <w:pPr>
              <w:spacing w:line="240" w:lineRule="auto"/>
            </w:pPr>
            <w:r w:rsidRPr="00AB7AF5">
              <w:t>It can help to pay for things such as:</w:t>
            </w:r>
          </w:p>
          <w:p w14:paraId="4D0EC50F" w14:textId="77777777" w:rsidR="00AB7AF5" w:rsidRPr="00AB7AF5" w:rsidRDefault="00AB7AF5" w:rsidP="00723B50">
            <w:pPr>
              <w:numPr>
                <w:ilvl w:val="0"/>
                <w:numId w:val="14"/>
              </w:numPr>
              <w:spacing w:line="240" w:lineRule="auto"/>
            </w:pPr>
            <w:r w:rsidRPr="00AB7AF5">
              <w:t>Job search costs</w:t>
            </w:r>
          </w:p>
          <w:p w14:paraId="4AAAA27F" w14:textId="77777777" w:rsidR="00AB7AF5" w:rsidRPr="00AB7AF5" w:rsidRDefault="00AB7AF5" w:rsidP="00723B50">
            <w:pPr>
              <w:numPr>
                <w:ilvl w:val="0"/>
                <w:numId w:val="14"/>
              </w:numPr>
              <w:spacing w:line="240" w:lineRule="auto"/>
            </w:pPr>
            <w:r w:rsidRPr="00AB7AF5">
              <w:lastRenderedPageBreak/>
              <w:t>Job interview costs</w:t>
            </w:r>
          </w:p>
          <w:p w14:paraId="0F28B802" w14:textId="77777777" w:rsidR="00AB7AF5" w:rsidRPr="00AB7AF5" w:rsidRDefault="00AB7AF5" w:rsidP="00723B50">
            <w:pPr>
              <w:numPr>
                <w:ilvl w:val="0"/>
                <w:numId w:val="14"/>
              </w:numPr>
              <w:spacing w:line="240" w:lineRule="auto"/>
            </w:pPr>
            <w:r w:rsidRPr="00AB7AF5">
              <w:t>Tools or clothing needed for work</w:t>
            </w:r>
          </w:p>
        </w:tc>
      </w:tr>
      <w:tr w:rsidR="00AB7AF5" w:rsidRPr="00AB7AF5" w14:paraId="10DDB990" w14:textId="77777777" w:rsidTr="00723B50">
        <w:tc>
          <w:tcPr>
            <w:tcW w:w="188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1C89C9F6" w14:textId="77777777" w:rsidR="00AB7AF5" w:rsidRPr="00AB7AF5" w:rsidRDefault="00AB7AF5" w:rsidP="00AB7AF5">
            <w:r w:rsidRPr="00AB7AF5">
              <w:rPr>
                <w:b/>
                <w:bCs/>
              </w:rPr>
              <w:lastRenderedPageBreak/>
              <w:t>Work bonus</w:t>
            </w:r>
          </w:p>
        </w:tc>
        <w:tc>
          <w:tcPr>
            <w:tcW w:w="47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6D159CBC" w14:textId="77777777" w:rsidR="00AB7AF5" w:rsidRPr="00AB7AF5" w:rsidRDefault="00AB7AF5" w:rsidP="00AB7AF5">
            <w:r w:rsidRPr="00AB7AF5">
              <w:t>This payment is made to people receiving certain benefits, such as the Supported Living Payment, who choose to move into paid work</w:t>
            </w:r>
          </w:p>
        </w:tc>
        <w:tc>
          <w:tcPr>
            <w:tcW w:w="870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20" w:type="dxa"/>
              <w:left w:w="120" w:type="dxa"/>
              <w:bottom w:w="120" w:type="dxa"/>
              <w:right w:w="120" w:type="dxa"/>
            </w:tcMar>
            <w:hideMark/>
          </w:tcPr>
          <w:p w14:paraId="712AC53D" w14:textId="77777777" w:rsidR="00AB7AF5" w:rsidRPr="00AB7AF5" w:rsidRDefault="00AB7AF5" w:rsidP="00723B50">
            <w:pPr>
              <w:spacing w:line="240" w:lineRule="auto"/>
            </w:pPr>
            <w:r w:rsidRPr="00AB7AF5">
              <w:t>Expenses that occur in the first few weeks of working</w:t>
            </w:r>
          </w:p>
        </w:tc>
      </w:tr>
    </w:tbl>
    <w:p w14:paraId="27E77283" w14:textId="77777777" w:rsidR="00A93955" w:rsidRDefault="00A93955"/>
    <w:sectPr w:rsidR="00A93955" w:rsidSect="00723B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8E1"/>
    <w:multiLevelType w:val="multilevel"/>
    <w:tmpl w:val="14FC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11492"/>
    <w:multiLevelType w:val="multilevel"/>
    <w:tmpl w:val="ACAC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17F1B"/>
    <w:multiLevelType w:val="multilevel"/>
    <w:tmpl w:val="FF0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A0842"/>
    <w:multiLevelType w:val="multilevel"/>
    <w:tmpl w:val="03D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D0C11"/>
    <w:multiLevelType w:val="multilevel"/>
    <w:tmpl w:val="3116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61516"/>
    <w:multiLevelType w:val="multilevel"/>
    <w:tmpl w:val="3E7E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E1DA8"/>
    <w:multiLevelType w:val="multilevel"/>
    <w:tmpl w:val="DB7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A66CB"/>
    <w:multiLevelType w:val="multilevel"/>
    <w:tmpl w:val="91D4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F525D"/>
    <w:multiLevelType w:val="multilevel"/>
    <w:tmpl w:val="E85A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187F62"/>
    <w:multiLevelType w:val="multilevel"/>
    <w:tmpl w:val="72A4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D7C5A"/>
    <w:multiLevelType w:val="multilevel"/>
    <w:tmpl w:val="CCB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C064A"/>
    <w:multiLevelType w:val="multilevel"/>
    <w:tmpl w:val="0E76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D011C7"/>
    <w:multiLevelType w:val="multilevel"/>
    <w:tmpl w:val="4BD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665B4"/>
    <w:multiLevelType w:val="multilevel"/>
    <w:tmpl w:val="D5D8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0707394">
    <w:abstractNumId w:val="12"/>
  </w:num>
  <w:num w:numId="2" w16cid:durableId="1064060770">
    <w:abstractNumId w:val="9"/>
  </w:num>
  <w:num w:numId="3" w16cid:durableId="2134640549">
    <w:abstractNumId w:val="6"/>
  </w:num>
  <w:num w:numId="4" w16cid:durableId="1322586826">
    <w:abstractNumId w:val="10"/>
  </w:num>
  <w:num w:numId="5" w16cid:durableId="1053502805">
    <w:abstractNumId w:val="1"/>
  </w:num>
  <w:num w:numId="6" w16cid:durableId="1685856848">
    <w:abstractNumId w:val="13"/>
  </w:num>
  <w:num w:numId="7" w16cid:durableId="1745879481">
    <w:abstractNumId w:val="11"/>
  </w:num>
  <w:num w:numId="8" w16cid:durableId="580064789">
    <w:abstractNumId w:val="8"/>
  </w:num>
  <w:num w:numId="9" w16cid:durableId="1868134375">
    <w:abstractNumId w:val="4"/>
  </w:num>
  <w:num w:numId="10" w16cid:durableId="542520219">
    <w:abstractNumId w:val="7"/>
  </w:num>
  <w:num w:numId="11" w16cid:durableId="384914650">
    <w:abstractNumId w:val="3"/>
  </w:num>
  <w:num w:numId="12" w16cid:durableId="1869101305">
    <w:abstractNumId w:val="2"/>
  </w:num>
  <w:num w:numId="13" w16cid:durableId="2120682960">
    <w:abstractNumId w:val="0"/>
  </w:num>
  <w:num w:numId="14" w16cid:durableId="21176696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F5"/>
    <w:rsid w:val="00723B50"/>
    <w:rsid w:val="00A93955"/>
    <w:rsid w:val="00AB7AF5"/>
    <w:rsid w:val="17DA2E50"/>
    <w:rsid w:val="1A25F9A5"/>
    <w:rsid w:val="428FE046"/>
    <w:rsid w:val="721903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5947"/>
  <w15:chartTrackingRefBased/>
  <w15:docId w15:val="{D368B06C-FE22-428C-AE51-72B5C68E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1150">
      <w:bodyDiv w:val="1"/>
      <w:marLeft w:val="0"/>
      <w:marRight w:val="0"/>
      <w:marTop w:val="0"/>
      <w:marBottom w:val="0"/>
      <w:divBdr>
        <w:top w:val="none" w:sz="0" w:space="0" w:color="auto"/>
        <w:left w:val="none" w:sz="0" w:space="0" w:color="auto"/>
        <w:bottom w:val="none" w:sz="0" w:space="0" w:color="auto"/>
        <w:right w:val="none" w:sz="0" w:space="0" w:color="auto"/>
      </w:divBdr>
    </w:div>
    <w:div w:id="16986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11928E6B66D4787A1B158251EC1A1" ma:contentTypeVersion="8" ma:contentTypeDescription="Create a new document." ma:contentTypeScope="" ma:versionID="5c7334c0747f023d1cc171e9fe370b75">
  <xsd:schema xmlns:xsd="http://www.w3.org/2001/XMLSchema" xmlns:xs="http://www.w3.org/2001/XMLSchema" xmlns:p="http://schemas.microsoft.com/office/2006/metadata/properties" xmlns:ns2="f9e239d1-5d02-4090-a082-70159123bb3b" xmlns:ns3="8fefa273-efa4-447e-b0bf-236d7a9b72ba" targetNamespace="http://schemas.microsoft.com/office/2006/metadata/properties" ma:root="true" ma:fieldsID="e3bed58781313dbf4416e2d31d6f3c7c" ns2:_="" ns3:_="">
    <xsd:import namespace="f9e239d1-5d02-4090-a082-70159123bb3b"/>
    <xsd:import namespace="8fefa273-efa4-447e-b0bf-236d7a9b7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239d1-5d02-4090-a082-70159123b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fa273-efa4-447e-b0bf-236d7a9b72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DDCB90-857E-498B-A039-74513B9BFD06}">
  <ds:schemaRefs>
    <ds:schemaRef ds:uri="f9e239d1-5d02-4090-a082-70159123bb3b"/>
    <ds:schemaRef ds:uri="http://purl.org/dc/terms/"/>
    <ds:schemaRef ds:uri="http://schemas.openxmlformats.org/package/2006/metadata/core-properties"/>
    <ds:schemaRef ds:uri="8fefa273-efa4-447e-b0bf-236d7a9b72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CA5F31-2797-4C78-82E9-2E242B68BD78}">
  <ds:schemaRefs>
    <ds:schemaRef ds:uri="http://schemas.microsoft.com/sharepoint/v3/contenttype/forms"/>
  </ds:schemaRefs>
</ds:datastoreItem>
</file>

<file path=customXml/itemProps3.xml><?xml version="1.0" encoding="utf-8"?>
<ds:datastoreItem xmlns:ds="http://schemas.openxmlformats.org/officeDocument/2006/customXml" ds:itemID="{F7EDD65E-1915-4644-A5CF-2430D753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239d1-5d02-4090-a082-70159123bb3b"/>
    <ds:schemaRef ds:uri="8fefa273-efa4-447e-b0bf-236d7a9b7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Ryan</dc:creator>
  <cp:keywords/>
  <dc:description/>
  <cp:lastModifiedBy>Simon Anderson</cp:lastModifiedBy>
  <cp:revision>3</cp:revision>
  <dcterms:created xsi:type="dcterms:W3CDTF">2022-02-08T02:04:00Z</dcterms:created>
  <dcterms:modified xsi:type="dcterms:W3CDTF">2022-11-25T02:32:00Z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0x010100F6111928E6B66D4787A1B158251EC1A1</vt:lpwstr>
  </property>
</Properties>
</file>